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Softserve se une a un equipo internacional para desarrollar tecnologías de alunizaje y plataforma de lanzamiento financiadas por la NASA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Con financiación del Programa STTR 2023 de la NASA, las empresas se unen para desarrollar tecnología de alunizaje y plataforma de lanzamiento.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AUSTIN, Texas, </w:t>
      </w:r>
      <w:r w:rsidDel="00000000" w:rsidR="00000000" w:rsidRPr="00000000">
        <w:rPr>
          <w:b w:val="1"/>
          <w:rtl w:val="0"/>
        </w:rPr>
        <w:t xml:space="preserve">08</w:t>
      </w:r>
      <w:r w:rsidDel="00000000" w:rsidR="00000000" w:rsidRPr="00000000">
        <w:rPr>
          <w:b w:val="1"/>
          <w:rtl w:val="0"/>
        </w:rPr>
        <w:t xml:space="preserve"> de enero de 2024.-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SoftServe</w:t>
        </w:r>
      </w:hyperlink>
      <w:r w:rsidDel="00000000" w:rsidR="00000000" w:rsidRPr="00000000">
        <w:rPr>
          <w:rtl w:val="0"/>
        </w:rPr>
        <w:t xml:space="preserve">, proveedor líder de consultoría en tecnologías de la información (TI) y servicios digitales, anunció sus planes de unirse a una coalición internacional, en un proyecto financiado por la NASA, para desarrollar tecnologías lunares.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 proyecto surge después de que Astroport Space Technologies, con sede en San Antonio, ganara un premio de financiación </w:t>
      </w:r>
      <w:r w:rsidDel="00000000" w:rsidR="00000000" w:rsidRPr="00000000">
        <w:rPr>
          <w:i w:val="1"/>
          <w:rtl w:val="0"/>
        </w:rPr>
        <w:t xml:space="preserve">Small Business Technology Transfer</w:t>
      </w:r>
      <w:r w:rsidDel="00000000" w:rsidR="00000000" w:rsidRPr="00000000">
        <w:rPr>
          <w:rtl w:val="0"/>
        </w:rPr>
        <w:t xml:space="preserve"> (STTR) 2023 Fase II de la NASA, para avanzar en el desarrollo de tecnologías de plataformas de aterrizaje en ambientes extremos y permitir aterrizajes lunares más seguros.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Dirigido por Astroport, el equipo de robótica y automatización avanzada de SoftServe trabajará junto a un consorcio de socios globales para impulsar colectivamente los esfuerzos de construcción en la </w:t>
      </w:r>
      <w:r w:rsidDel="00000000" w:rsidR="00000000" w:rsidRPr="00000000">
        <w:rPr>
          <w:rtl w:val="0"/>
        </w:rPr>
        <w:t xml:space="preserve">luna</w:t>
      </w:r>
      <w:r w:rsidDel="00000000" w:rsidR="00000000" w:rsidRPr="00000000">
        <w:rPr>
          <w:rtl w:val="0"/>
        </w:rPr>
        <w:t xml:space="preserve">. Los miembros de la compañía ucraniana se </w:t>
      </w:r>
      <w:r w:rsidDel="00000000" w:rsidR="00000000" w:rsidRPr="00000000">
        <w:rPr>
          <w:rtl w:val="0"/>
        </w:rPr>
        <w:t xml:space="preserve">encargarán</w:t>
      </w:r>
      <w:r w:rsidDel="00000000" w:rsidR="00000000" w:rsidRPr="00000000">
        <w:rPr>
          <w:rtl w:val="0"/>
        </w:rPr>
        <w:t xml:space="preserve"> de simular sistemas robóticos para la construcción en vivo, la interacción mecánica y el movimiento libre en la superficie lunar.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0"/>
        </w:rPr>
        <w:t xml:space="preserve">Nuestro papel -y nuestra misión- es construir modelos para la interacción terra-mecánica entre los equipos, la maquinaria de construcción y el regolito. En concreto, nuestros especialistas crearán y ejecutarán numerosas simulaciones digitales del proceso de construcción en la luna, teniendo en cuenta las características y propiedades del suelo en diversas situaciones lunares. Este trabajo nos permitirá explorar posibles sinergias entre máquinas, dispositivos in situ y conceptos óptimos de transporte que podrían transformar el desarrollo lunar</w:t>
      </w:r>
      <w:r w:rsidDel="00000000" w:rsidR="00000000" w:rsidRPr="00000000">
        <w:rPr>
          <w:rtl w:val="0"/>
        </w:rPr>
        <w:t xml:space="preserve">"; declaró </w:t>
      </w:r>
      <w:r w:rsidDel="00000000" w:rsidR="00000000" w:rsidRPr="00000000">
        <w:rPr>
          <w:b w:val="1"/>
          <w:rtl w:val="0"/>
        </w:rPr>
        <w:t xml:space="preserve">Lyubomyr Demkiv, Jefe de la Práctica de Robótica de SoftServe.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Está previsto que el proyecto comience en enero de 2024. El programa STTR de la NASA es una subvención anual que financia la investigación, el desarrollo y la demostración de tecnologías innovadoras que respondan a las necesidades definidas por la agencia espacial.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Para obtener más información sobre el grupo de Robótica y Automatización Avanzada de SoftServe, visite este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sitio web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SoftServe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SoftServe</w:t>
        </w:r>
      </w:hyperlink>
      <w:r w:rsidDel="00000000" w:rsidR="00000000" w:rsidRPr="00000000">
        <w:rPr>
          <w:sz w:val="18"/>
          <w:szCs w:val="18"/>
          <w:rtl w:val="0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</w:t>
      </w:r>
      <w:r w:rsidDel="00000000" w:rsidR="00000000" w:rsidRPr="00000000">
        <w:rPr>
          <w:sz w:val="18"/>
          <w:szCs w:val="18"/>
          <w:rtl w:val="0"/>
        </w:rPr>
        <w:t xml:space="preserve">SoftServe</w:t>
      </w:r>
      <w:r w:rsidDel="00000000" w:rsidR="00000000" w:rsidRPr="00000000">
        <w:rPr>
          <w:sz w:val="18"/>
          <w:szCs w:val="18"/>
          <w:rtl w:val="0"/>
        </w:rPr>
        <w:t xml:space="preserve">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Para mayor información, visita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www.softserveinc.com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Facebook: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Twitter: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@SoftServeInc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LinkedIn: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@softserve</w:t>
        </w:r>
      </w:hyperlink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  <w:br w:type="textWrapping"/>
        <w:t xml:space="preserve">Blog: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www.softserveinc.com/en-us/blog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6388" cy="4922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4922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SoftServeInc" TargetMode="External"/><Relationship Id="rId10" Type="http://schemas.openxmlformats.org/officeDocument/2006/relationships/hyperlink" Target="https://www.facebook.com/SoftServeInc" TargetMode="External"/><Relationship Id="rId13" Type="http://schemas.openxmlformats.org/officeDocument/2006/relationships/hyperlink" Target="https://www.softserveinc.com/en-us/blog" TargetMode="External"/><Relationship Id="rId12" Type="http://schemas.openxmlformats.org/officeDocument/2006/relationships/hyperlink" Target="https://www.linkedin.com/company/softserv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ftserveinc.com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oftserveinc.com/en-us" TargetMode="External"/><Relationship Id="rId7" Type="http://schemas.openxmlformats.org/officeDocument/2006/relationships/hyperlink" Target="https://www.softserveinc.com/en-us/services/robotics" TargetMode="External"/><Relationship Id="rId8" Type="http://schemas.openxmlformats.org/officeDocument/2006/relationships/hyperlink" Target="https://www.softserveinc.com/en-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